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14:paraId="0054F978" w14:textId="77777777" w:rsidTr="00885002">
        <w:tc>
          <w:tcPr>
            <w:tcW w:w="1781" w:type="dxa"/>
          </w:tcPr>
          <w:p w14:paraId="635BC748" w14:textId="77777777"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4B8B6DE2" wp14:editId="3F03500B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14:paraId="52F911B0" w14:textId="77777777"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14:paraId="3828626E" w14:textId="77777777"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32C76" w14:textId="683898CF" w:rsidR="00400266" w:rsidRPr="003D6383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3D6383">
        <w:rPr>
          <w:b/>
          <w:sz w:val="72"/>
          <w:szCs w:val="72"/>
        </w:rPr>
        <w:t xml:space="preserve"> </w:t>
      </w:r>
      <w:r w:rsidRPr="003D6383">
        <w:rPr>
          <w:b/>
          <w:sz w:val="40"/>
          <w:szCs w:val="40"/>
        </w:rPr>
        <w:br/>
      </w:r>
      <w:r w:rsidR="00030CC3">
        <w:rPr>
          <w:b/>
          <w:sz w:val="32"/>
          <w:szCs w:val="32"/>
        </w:rPr>
        <w:t>Светильник</w:t>
      </w:r>
      <w:r w:rsidR="00030CC3" w:rsidRPr="003D6383">
        <w:rPr>
          <w:b/>
          <w:sz w:val="32"/>
          <w:szCs w:val="32"/>
        </w:rPr>
        <w:t xml:space="preserve"> </w:t>
      </w:r>
      <w:r w:rsidRPr="00030CC3">
        <w:rPr>
          <w:b/>
          <w:sz w:val="56"/>
          <w:szCs w:val="56"/>
          <w:lang w:val="en-US"/>
        </w:rPr>
        <w:t>STECKERMANN</w:t>
      </w:r>
      <w:r w:rsidRPr="003D6383">
        <w:rPr>
          <w:b/>
          <w:sz w:val="56"/>
          <w:szCs w:val="56"/>
        </w:rPr>
        <w:t xml:space="preserve"> </w:t>
      </w:r>
      <w:r w:rsidR="003D6383">
        <w:rPr>
          <w:b/>
          <w:sz w:val="56"/>
          <w:szCs w:val="56"/>
          <w:lang w:val="en-US"/>
        </w:rPr>
        <w:t>OTIUM</w:t>
      </w:r>
      <w:r w:rsidR="003D6383" w:rsidRPr="008C15B7">
        <w:rPr>
          <w:b/>
          <w:sz w:val="56"/>
          <w:szCs w:val="56"/>
        </w:rPr>
        <w:t xml:space="preserve"> </w:t>
      </w:r>
      <w:r w:rsidR="009B39CF">
        <w:rPr>
          <w:b/>
          <w:sz w:val="56"/>
          <w:szCs w:val="56"/>
        </w:rPr>
        <w:t>0</w:t>
      </w:r>
      <w:r w:rsidR="006D175B">
        <w:rPr>
          <w:b/>
          <w:sz w:val="56"/>
          <w:szCs w:val="56"/>
          <w:lang w:val="en-US"/>
        </w:rPr>
        <w:t>6</w:t>
      </w:r>
      <w:r w:rsidR="009B39CF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14:paraId="49FD89BA" w14:textId="77777777"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14:paraId="1E998B26" w14:textId="77777777"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14:paraId="037BFDD6" w14:textId="77777777"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14:paraId="46C5A3BA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14:paraId="2726FE20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14:paraId="1DEFC627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средств», ГОСТ CISPR 15-2004 (напряжение индустриальных радиопомех) и ГОСТ Р 51317.3.2-2006 (гармонические составляющие тока).</w:t>
      </w:r>
    </w:p>
    <w:p w14:paraId="1291864F" w14:textId="1B5CC7C4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 xml:space="preserve">Способ крепления – на </w:t>
      </w:r>
      <w:r w:rsidR="009B39CF">
        <w:rPr>
          <w:sz w:val="28"/>
          <w:szCs w:val="28"/>
          <w:vertAlign w:val="subscript"/>
        </w:rPr>
        <w:t>столб</w:t>
      </w:r>
      <w:r w:rsidRPr="00450F8A">
        <w:rPr>
          <w:sz w:val="28"/>
          <w:szCs w:val="28"/>
          <w:vertAlign w:val="subscript"/>
        </w:rPr>
        <w:t>.</w:t>
      </w:r>
    </w:p>
    <w:p w14:paraId="73DA4AC1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14:paraId="1872C7F3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14:paraId="066D763E" w14:textId="77777777" w:rsidR="002D3BFC" w:rsidRPr="009B39CF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14:paraId="305DEE82" w14:textId="77777777" w:rsidR="002D3BFC" w:rsidRPr="00030CC3" w:rsidRDefault="002D3BFC" w:rsidP="002D3BFC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450"/>
      </w:tblGrid>
      <w:tr w:rsidR="002D3BFC" w:rsidRPr="00541DD5" w14:paraId="1E83E9B0" w14:textId="77777777" w:rsidTr="0059366A">
        <w:tc>
          <w:tcPr>
            <w:tcW w:w="3026" w:type="dxa"/>
          </w:tcPr>
          <w:p w14:paraId="1E93BDB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14:paraId="24E273DF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34C2EA66" w14:textId="77777777" w:rsidTr="0059366A">
        <w:tc>
          <w:tcPr>
            <w:tcW w:w="3026" w:type="dxa"/>
          </w:tcPr>
          <w:p w14:paraId="45A8B6D7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14:paraId="747B2EE5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2D3BFC" w:rsidRPr="00541DD5" w14:paraId="13A50A1B" w14:textId="77777777" w:rsidTr="0059366A">
        <w:tc>
          <w:tcPr>
            <w:tcW w:w="3026" w:type="dxa"/>
          </w:tcPr>
          <w:p w14:paraId="34A7116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proofErr w:type="gramStart"/>
            <w:r w:rsidRPr="00541DD5">
              <w:rPr>
                <w:sz w:val="28"/>
                <w:szCs w:val="28"/>
                <w:vertAlign w:val="subscript"/>
              </w:rPr>
              <w:t>Коэффициент  мощности</w:t>
            </w:r>
            <w:proofErr w:type="gramEnd"/>
            <w:r w:rsidRPr="00541DD5">
              <w:rPr>
                <w:sz w:val="28"/>
                <w:szCs w:val="28"/>
                <w:vertAlign w:val="subscript"/>
              </w:rPr>
              <w:t>, не менее</w:t>
            </w:r>
          </w:p>
        </w:tc>
        <w:tc>
          <w:tcPr>
            <w:tcW w:w="1016" w:type="dxa"/>
          </w:tcPr>
          <w:p w14:paraId="0853D87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2D3BFC" w:rsidRPr="00541DD5" w14:paraId="0BFB5556" w14:textId="77777777" w:rsidTr="0059366A">
        <w:tc>
          <w:tcPr>
            <w:tcW w:w="3026" w:type="dxa"/>
          </w:tcPr>
          <w:p w14:paraId="3D81675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14:paraId="2866D4B8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2D3BFC" w:rsidRPr="00541DD5" w14:paraId="628DCD02" w14:textId="77777777" w:rsidTr="0059366A">
        <w:tc>
          <w:tcPr>
            <w:tcW w:w="3026" w:type="dxa"/>
          </w:tcPr>
          <w:p w14:paraId="44058A7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14:paraId="239D3F30" w14:textId="73EB668B" w:rsidR="002D3BFC" w:rsidRPr="009B39CF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25444109" w14:textId="77777777" w:rsidTr="0059366A">
        <w:tc>
          <w:tcPr>
            <w:tcW w:w="3026" w:type="dxa"/>
          </w:tcPr>
          <w:p w14:paraId="74FEA4E2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14:paraId="6808662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67</w:t>
            </w:r>
          </w:p>
        </w:tc>
      </w:tr>
      <w:tr w:rsidR="002D3BFC" w:rsidRPr="00541DD5" w14:paraId="077B08CF" w14:textId="77777777" w:rsidTr="0059366A">
        <w:tc>
          <w:tcPr>
            <w:tcW w:w="3026" w:type="dxa"/>
          </w:tcPr>
          <w:p w14:paraId="467FBFB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14:paraId="2DEA102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2D3BFC" w:rsidRPr="00541DD5" w14:paraId="1E10F26B" w14:textId="77777777" w:rsidTr="0059366A">
        <w:tc>
          <w:tcPr>
            <w:tcW w:w="3026" w:type="dxa"/>
          </w:tcPr>
          <w:p w14:paraId="160D8FB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</w:t>
            </w:r>
            <w:proofErr w:type="gramStart"/>
            <w:r w:rsidRPr="00541DD5">
              <w:rPr>
                <w:sz w:val="28"/>
                <w:szCs w:val="28"/>
                <w:vertAlign w:val="subscript"/>
              </w:rPr>
              <w:t>, К</w:t>
            </w:r>
            <w:proofErr w:type="gramEnd"/>
          </w:p>
        </w:tc>
        <w:tc>
          <w:tcPr>
            <w:tcW w:w="1016" w:type="dxa"/>
          </w:tcPr>
          <w:p w14:paraId="21503BC0" w14:textId="06422CF5" w:rsidR="002D3BFC" w:rsidRPr="00541DD5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3000/</w:t>
            </w:r>
            <w:r w:rsidR="002D3BFC">
              <w:rPr>
                <w:sz w:val="28"/>
                <w:szCs w:val="28"/>
                <w:vertAlign w:val="subscript"/>
              </w:rPr>
              <w:t>4000</w:t>
            </w:r>
            <w:r w:rsidR="002D3BFC">
              <w:rPr>
                <w:sz w:val="28"/>
                <w:szCs w:val="28"/>
                <w:vertAlign w:val="subscript"/>
                <w:lang w:val="en-US"/>
              </w:rPr>
              <w:t>/</w:t>
            </w:r>
            <w:r w:rsidR="002D3BFC"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14:paraId="0B30B928" w14:textId="77777777" w:rsidR="002D3BFC" w:rsidRDefault="002D3BFC" w:rsidP="002D3BFC">
      <w:pPr>
        <w:spacing w:after="0" w:line="200" w:lineRule="atLeast"/>
        <w:rPr>
          <w:sz w:val="28"/>
          <w:szCs w:val="28"/>
          <w:vertAlign w:val="subscript"/>
        </w:rPr>
      </w:pPr>
    </w:p>
    <w:p w14:paraId="673BF58A" w14:textId="77777777" w:rsidR="002D3BFC" w:rsidRPr="002D3BFC" w:rsidRDefault="002D3BFC" w:rsidP="00194E56">
      <w:pPr>
        <w:spacing w:after="0" w:line="200" w:lineRule="atLeast"/>
        <w:ind w:left="709" w:hanging="425"/>
        <w:rPr>
          <w:sz w:val="28"/>
          <w:szCs w:val="28"/>
          <w:vertAlign w:val="subscript"/>
          <w:lang w:val="en-US"/>
        </w:rPr>
      </w:pPr>
    </w:p>
    <w:p w14:paraId="0247B050" w14:textId="6DEC2C32" w:rsidR="00194E56" w:rsidRDefault="006D175B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</w:rPr>
        <w:drawing>
          <wp:inline distT="0" distB="0" distL="0" distR="0" wp14:anchorId="39FB7ADE" wp14:editId="5E4B30AA">
            <wp:extent cx="2034540" cy="2231214"/>
            <wp:effectExtent l="0" t="0" r="3810" b="0"/>
            <wp:docPr id="895320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53" cy="223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A63C" w14:textId="77777777"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14:paraId="254D15FB" w14:textId="77777777"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1E94EC78" wp14:editId="52408153">
            <wp:simplePos x="0" y="0"/>
            <wp:positionH relativeFrom="column">
              <wp:posOffset>8493125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14:paraId="195101EC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14:paraId="53C37600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14:paraId="0C92D1D8" w14:textId="77777777"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14:paraId="7788F7E6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14:paraId="5C9B27BE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14:paraId="47508129" w14:textId="77777777"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14:paraId="7677D343" w14:textId="77777777"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FAE1CCE" wp14:editId="2593C189">
            <wp:simplePos x="0" y="0"/>
            <wp:positionH relativeFrom="column">
              <wp:posOffset>8533977</wp:posOffset>
            </wp:positionH>
            <wp:positionV relativeFrom="paragraph">
              <wp:posOffset>237067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14:paraId="6DF0BB94" w14:textId="77777777"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14:paraId="475921EA" w14:textId="77777777"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14:paraId="4176DF4E" w14:textId="77777777"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14:paraId="08619040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14:paraId="21E7A3B8" w14:textId="77777777" w:rsidR="001343DF" w:rsidRPr="001343DF" w:rsidRDefault="00030CC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746F2D" wp14:editId="7DD9D2FB">
            <wp:simplePos x="0" y="0"/>
            <wp:positionH relativeFrom="column">
              <wp:posOffset>7110307</wp:posOffset>
            </wp:positionH>
            <wp:positionV relativeFrom="paragraph">
              <wp:posOffset>64347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</w:t>
      </w:r>
    </w:p>
    <w:p w14:paraId="4E8093B9" w14:textId="77777777"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14:paraId="35AFFDCB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14:paraId="3BA82991" w14:textId="77777777"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14:paraId="3D4F6AD4" w14:textId="77777777"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14:paraId="2AC227F9" w14:textId="77777777"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14:paraId="7108536F" w14:textId="77777777" w:rsidTr="00F76FCE">
        <w:trPr>
          <w:jc w:val="center"/>
        </w:trPr>
        <w:tc>
          <w:tcPr>
            <w:tcW w:w="10808" w:type="dxa"/>
          </w:tcPr>
          <w:p w14:paraId="758456F1" w14:textId="77777777"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lastRenderedPageBreak/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14:paraId="6775BB23" w14:textId="77777777"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14:paraId="2A992A9F" w14:textId="77777777"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14:paraId="5104E7BC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14:paraId="443AE632" w14:textId="77777777"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14:paraId="229DF045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14:paraId="20175452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14:paraId="3A0A8BAE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14:paraId="419D6D66" w14:textId="77777777"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14:paraId="4F7ABE11" w14:textId="77777777"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14:paraId="32DA6E1D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14:paraId="00BF2382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14:paraId="3FC1E4F4" w14:textId="77777777"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14:paraId="0C793D5C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14:paraId="2233B3C3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14:paraId="3484024D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14:paraId="4759223B" w14:textId="77777777" w:rsidR="00E52FA8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14:paraId="41831E9B" w14:textId="77777777"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14:paraId="5E39ECBC" w14:textId="77777777" w:rsidR="000256C5" w:rsidRDefault="000256C5" w:rsidP="00030CC3">
      <w:pPr>
        <w:spacing w:after="0" w:line="192" w:lineRule="auto"/>
      </w:pPr>
    </w:p>
    <w:p w14:paraId="6F3BCCA0" w14:textId="77777777"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14:paraId="6425F84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14:paraId="1FB2BA3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14:paraId="269DFA6A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14:paraId="159C7D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14:paraId="2F8F9A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14:paraId="332F320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14:paraId="349EFE5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14:paraId="528F9071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14:paraId="68A5142B" w14:textId="77777777" w:rsidR="000256C5" w:rsidRPr="00030CC3" w:rsidRDefault="000256C5" w:rsidP="00030CC3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14:paraId="20039CA6" w14:textId="77777777"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14:paraId="459D5CC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14:paraId="40FD1B4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14:paraId="490C5C97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 xml:space="preserve">.: </w:t>
      </w:r>
      <w:hyperlink r:id="rId12" w:history="1">
        <w:r w:rsidR="00030CC3" w:rsidRPr="00030CC3">
          <w:rPr>
            <w:sz w:val="28"/>
            <w:szCs w:val="28"/>
            <w:vertAlign w:val="subscript"/>
          </w:rPr>
          <w:t>8-913-084-5746</w:t>
        </w:r>
      </w:hyperlink>
    </w:p>
    <w:p w14:paraId="7A48F8F9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14:paraId="5C846CC7" w14:textId="77777777"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14:paraId="5F4E061A" w14:textId="77777777"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14:paraId="4F4CFE4B" w14:textId="77777777"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14:paraId="67E5040D" w14:textId="77777777" w:rsidTr="00267D84">
        <w:tc>
          <w:tcPr>
            <w:tcW w:w="1580" w:type="dxa"/>
            <w:vAlign w:val="center"/>
          </w:tcPr>
          <w:p w14:paraId="57C45DD5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14:paraId="2350A55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0174E771" w14:textId="77777777" w:rsidTr="00267D84">
        <w:tc>
          <w:tcPr>
            <w:tcW w:w="1580" w:type="dxa"/>
            <w:vAlign w:val="center"/>
          </w:tcPr>
          <w:p w14:paraId="57D95F0E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14:paraId="49209159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495AE4C7" w14:textId="77777777" w:rsidTr="00267D84">
        <w:tc>
          <w:tcPr>
            <w:tcW w:w="1580" w:type="dxa"/>
            <w:vAlign w:val="center"/>
          </w:tcPr>
          <w:p w14:paraId="7CDF80E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14:paraId="25625B7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15CF75EF" w14:textId="77777777" w:rsidTr="00267D84">
        <w:tc>
          <w:tcPr>
            <w:tcW w:w="1580" w:type="dxa"/>
            <w:vAlign w:val="center"/>
          </w:tcPr>
          <w:p w14:paraId="3F07814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14:paraId="1DF68816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14:paraId="52EBFF4E" w14:textId="77777777"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14:paraId="42AE36FE" w14:textId="77777777"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14:paraId="30807814" w14:textId="77777777"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887B0F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94889">
    <w:abstractNumId w:val="15"/>
  </w:num>
  <w:num w:numId="2" w16cid:durableId="846098777">
    <w:abstractNumId w:val="17"/>
  </w:num>
  <w:num w:numId="3" w16cid:durableId="1008481172">
    <w:abstractNumId w:val="13"/>
  </w:num>
  <w:num w:numId="4" w16cid:durableId="1325355751">
    <w:abstractNumId w:val="16"/>
  </w:num>
  <w:num w:numId="5" w16cid:durableId="426850011">
    <w:abstractNumId w:val="1"/>
  </w:num>
  <w:num w:numId="6" w16cid:durableId="729772195">
    <w:abstractNumId w:val="14"/>
  </w:num>
  <w:num w:numId="7" w16cid:durableId="1918203096">
    <w:abstractNumId w:val="6"/>
  </w:num>
  <w:num w:numId="8" w16cid:durableId="540943354">
    <w:abstractNumId w:val="8"/>
  </w:num>
  <w:num w:numId="9" w16cid:durableId="150801329">
    <w:abstractNumId w:val="19"/>
  </w:num>
  <w:num w:numId="10" w16cid:durableId="1525558893">
    <w:abstractNumId w:val="4"/>
  </w:num>
  <w:num w:numId="11" w16cid:durableId="1499728445">
    <w:abstractNumId w:val="0"/>
  </w:num>
  <w:num w:numId="12" w16cid:durableId="1939095012">
    <w:abstractNumId w:val="2"/>
  </w:num>
  <w:num w:numId="13" w16cid:durableId="1602880791">
    <w:abstractNumId w:val="3"/>
  </w:num>
  <w:num w:numId="14" w16cid:durableId="413861201">
    <w:abstractNumId w:val="9"/>
  </w:num>
  <w:num w:numId="15" w16cid:durableId="1936207450">
    <w:abstractNumId w:val="12"/>
  </w:num>
  <w:num w:numId="16" w16cid:durableId="1187711829">
    <w:abstractNumId w:val="11"/>
  </w:num>
  <w:num w:numId="17" w16cid:durableId="367416285">
    <w:abstractNumId w:val="10"/>
  </w:num>
  <w:num w:numId="18" w16cid:durableId="1351418239">
    <w:abstractNumId w:val="5"/>
  </w:num>
  <w:num w:numId="19" w16cid:durableId="379595955">
    <w:abstractNumId w:val="18"/>
  </w:num>
  <w:num w:numId="20" w16cid:durableId="1324046292">
    <w:abstractNumId w:val="20"/>
  </w:num>
  <w:num w:numId="21" w16cid:durableId="44623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0CC3"/>
    <w:rsid w:val="00034613"/>
    <w:rsid w:val="000B2216"/>
    <w:rsid w:val="000C300C"/>
    <w:rsid w:val="001343DF"/>
    <w:rsid w:val="00185058"/>
    <w:rsid w:val="00194E56"/>
    <w:rsid w:val="002062E5"/>
    <w:rsid w:val="00245A32"/>
    <w:rsid w:val="002621DE"/>
    <w:rsid w:val="00267D84"/>
    <w:rsid w:val="00294506"/>
    <w:rsid w:val="002B5706"/>
    <w:rsid w:val="002D3BFC"/>
    <w:rsid w:val="003947C3"/>
    <w:rsid w:val="003C744A"/>
    <w:rsid w:val="003D1E93"/>
    <w:rsid w:val="003D6383"/>
    <w:rsid w:val="003F3DB0"/>
    <w:rsid w:val="00400266"/>
    <w:rsid w:val="00403593"/>
    <w:rsid w:val="00412F40"/>
    <w:rsid w:val="00450F8A"/>
    <w:rsid w:val="004E3682"/>
    <w:rsid w:val="00541DD5"/>
    <w:rsid w:val="00575950"/>
    <w:rsid w:val="005D5665"/>
    <w:rsid w:val="006B406A"/>
    <w:rsid w:val="006D175B"/>
    <w:rsid w:val="00733264"/>
    <w:rsid w:val="00737216"/>
    <w:rsid w:val="007438FB"/>
    <w:rsid w:val="007447A4"/>
    <w:rsid w:val="0077797D"/>
    <w:rsid w:val="007C708A"/>
    <w:rsid w:val="007D40C9"/>
    <w:rsid w:val="007E09BE"/>
    <w:rsid w:val="008060DC"/>
    <w:rsid w:val="00885002"/>
    <w:rsid w:val="00887B0F"/>
    <w:rsid w:val="00887CF2"/>
    <w:rsid w:val="00891FFA"/>
    <w:rsid w:val="008C15B7"/>
    <w:rsid w:val="008C3BF4"/>
    <w:rsid w:val="00923725"/>
    <w:rsid w:val="00944114"/>
    <w:rsid w:val="009B39CF"/>
    <w:rsid w:val="009E096B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B377E"/>
    <w:rsid w:val="00CE6CEE"/>
    <w:rsid w:val="00DB3CE1"/>
    <w:rsid w:val="00DC2CE0"/>
    <w:rsid w:val="00DD0240"/>
    <w:rsid w:val="00DD1572"/>
    <w:rsid w:val="00E17841"/>
    <w:rsid w:val="00E4237B"/>
    <w:rsid w:val="00E52FA8"/>
    <w:rsid w:val="00EF6E71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E98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791308457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Человек)</cp:lastModifiedBy>
  <cp:revision>2</cp:revision>
  <dcterms:created xsi:type="dcterms:W3CDTF">2026-05-27T08:45:00Z</dcterms:created>
  <dcterms:modified xsi:type="dcterms:W3CDTF">2026-05-27T08:45:00Z</dcterms:modified>
</cp:coreProperties>
</file>