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4423"/>
        <w:gridCol w:w="8646"/>
      </w:tblGrid>
      <w:tr w:rsidR="00A26B01" w:rsidRPr="00541DD5" w:rsidTr="007D6EF7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8646" w:type="dxa"/>
          </w:tcPr>
          <w:p w:rsidR="00E52FA8" w:rsidRPr="00541DD5" w:rsidRDefault="003F3DB0" w:rsidP="009A70E6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509270" cy="44005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311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229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74345" cy="414020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C0D"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393" cy="412955"/>
                  <wp:effectExtent l="1905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36" cy="4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140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66090" cy="4229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74345" cy="422910"/>
                  <wp:effectExtent l="1905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Pr="00BB0995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7D6EF7">
        <w:rPr>
          <w:b/>
          <w:sz w:val="32"/>
          <w:szCs w:val="32"/>
        </w:rPr>
        <w:t>индукционный</w:t>
      </w:r>
      <w:r w:rsidRPr="00285972">
        <w:rPr>
          <w:b/>
          <w:sz w:val="32"/>
          <w:szCs w:val="32"/>
        </w:rPr>
        <w:t xml:space="preserve"> </w:t>
      </w:r>
      <w:r w:rsidR="003E086E">
        <w:rPr>
          <w:b/>
          <w:sz w:val="32"/>
          <w:szCs w:val="32"/>
        </w:rPr>
        <w:t xml:space="preserve">накладной </w:t>
      </w:r>
      <w:r w:rsidRPr="000256C5">
        <w:rPr>
          <w:b/>
          <w:sz w:val="56"/>
          <w:szCs w:val="56"/>
        </w:rPr>
        <w:t xml:space="preserve">STECKERMANN </w:t>
      </w:r>
      <w:r w:rsidR="003E086E">
        <w:rPr>
          <w:b/>
          <w:sz w:val="56"/>
          <w:szCs w:val="56"/>
          <w:lang w:val="en-US"/>
        </w:rPr>
        <w:t>GR</w:t>
      </w:r>
      <w:r w:rsidR="00DA03A7" w:rsidRPr="00DA03A7">
        <w:rPr>
          <w:b/>
          <w:sz w:val="56"/>
          <w:szCs w:val="56"/>
        </w:rPr>
        <w:t xml:space="preserve"> </w:t>
      </w:r>
      <w:r w:rsidR="007D6EF7" w:rsidRPr="007D6EF7">
        <w:rPr>
          <w:b/>
          <w:sz w:val="56"/>
          <w:szCs w:val="56"/>
        </w:rPr>
        <w:t>0</w:t>
      </w:r>
      <w:r w:rsidR="00ED27B8">
        <w:rPr>
          <w:b/>
          <w:sz w:val="56"/>
          <w:szCs w:val="56"/>
        </w:rPr>
        <w:t>4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7D6EF7" w:rsidRPr="007D6EF7" w:rsidRDefault="00400266" w:rsidP="007D6EF7">
      <w:p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В комплект поставки входят: </w:t>
      </w:r>
    </w:p>
    <w:p w:rsidR="007D6EF7" w:rsidRDefault="00AC76AD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  <w:vertAlign w:val="subscript"/>
        </w:rPr>
        <w:t xml:space="preserve">Накладной </w:t>
      </w:r>
      <w:r w:rsidR="00DA03A7">
        <w:rPr>
          <w:sz w:val="28"/>
          <w:szCs w:val="28"/>
          <w:vertAlign w:val="subscript"/>
        </w:rPr>
        <w:t xml:space="preserve"> светильник</w:t>
      </w:r>
      <w:proofErr w:type="gramEnd"/>
      <w:r w:rsidR="00DA03A7">
        <w:rPr>
          <w:sz w:val="28"/>
          <w:szCs w:val="28"/>
          <w:vertAlign w:val="subscript"/>
        </w:rPr>
        <w:t xml:space="preserve"> </w:t>
      </w:r>
      <w:r w:rsidR="00553C7C">
        <w:rPr>
          <w:sz w:val="28"/>
          <w:szCs w:val="28"/>
          <w:vertAlign w:val="subscript"/>
        </w:rPr>
        <w:t xml:space="preserve"> </w:t>
      </w:r>
      <w:r w:rsidR="007D6EF7">
        <w:rPr>
          <w:sz w:val="28"/>
          <w:szCs w:val="28"/>
          <w:vertAlign w:val="subscript"/>
        </w:rPr>
        <w:t>– 1шт</w:t>
      </w:r>
    </w:p>
    <w:p w:rsidR="00DA03A7" w:rsidRPr="00D654C4" w:rsidRDefault="00DA03A7" w:rsidP="00DA03A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54C4">
        <w:rPr>
          <w:sz w:val="28"/>
          <w:szCs w:val="28"/>
          <w:vertAlign w:val="subscript"/>
        </w:rPr>
        <w:t xml:space="preserve">Паспорт - 1шт     </w:t>
      </w:r>
    </w:p>
    <w:p w:rsidR="00DA03A7" w:rsidRDefault="00DA03A7" w:rsidP="00DA03A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Упаковка </w:t>
      </w:r>
      <w:r>
        <w:rPr>
          <w:sz w:val="28"/>
          <w:szCs w:val="28"/>
          <w:vertAlign w:val="subscript"/>
        </w:rPr>
        <w:t>- 1шт</w:t>
      </w:r>
    </w:p>
    <w:p w:rsidR="00553C7C" w:rsidRDefault="00553C7C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Лампа индукционная – 1шт</w:t>
      </w:r>
    </w:p>
    <w:p w:rsidR="00DA03A7" w:rsidRDefault="00DA03A7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ЭПРА – 1шт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462DE0" w:rsidRDefault="00AC76AD" w:rsidP="0044365C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462DE0">
        <w:rPr>
          <w:sz w:val="28"/>
          <w:szCs w:val="28"/>
          <w:vertAlign w:val="subscript"/>
        </w:rPr>
        <w:t xml:space="preserve">Накладной светильник заливающего света предназначен для освещения гаражей, паркингов, подземных стоянок и пр. Рассчитан для работы в сети переменного тока 220 В (±5%) 50 Гц (±2%). </w:t>
      </w:r>
    </w:p>
    <w:p w:rsidR="00701140" w:rsidRPr="00462DE0" w:rsidRDefault="00701140" w:rsidP="0044365C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462DE0">
        <w:rPr>
          <w:sz w:val="28"/>
          <w:szCs w:val="28"/>
          <w:vertAlign w:val="subscript"/>
        </w:rPr>
        <w:t>Качество электроэнергии должно соответствовать ГОСТ 13109-97.</w:t>
      </w:r>
    </w:p>
    <w:p w:rsidR="007D6EF7" w:rsidRDefault="007D6EF7" w:rsidP="00DA03A7">
      <w:pPr>
        <w:spacing w:after="0" w:line="192" w:lineRule="auto"/>
        <w:rPr>
          <w:b/>
          <w:sz w:val="28"/>
          <w:szCs w:val="28"/>
          <w:vertAlign w:val="subscript"/>
        </w:rPr>
      </w:pPr>
      <w:r w:rsidRPr="007D6EF7">
        <w:rPr>
          <w:b/>
          <w:sz w:val="28"/>
          <w:szCs w:val="28"/>
          <w:vertAlign w:val="subscript"/>
        </w:rPr>
        <w:t>Технические характеристики</w:t>
      </w:r>
    </w:p>
    <w:p w:rsidR="00462DE0" w:rsidRDefault="00462DE0" w:rsidP="00462DE0">
      <w:pPr>
        <w:pStyle w:val="a4"/>
        <w:numPr>
          <w:ilvl w:val="0"/>
          <w:numId w:val="27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462DE0">
        <w:rPr>
          <w:sz w:val="28"/>
          <w:szCs w:val="28"/>
          <w:vertAlign w:val="subscript"/>
        </w:rPr>
        <w:t>Светильники соответствуют классу защиты 1 от поражения электрическим током по ГОСТ 12.2.007.0-75</w:t>
      </w:r>
    </w:p>
    <w:p w:rsidR="00701140" w:rsidRDefault="00701140" w:rsidP="00462DE0">
      <w:pPr>
        <w:pStyle w:val="a4"/>
        <w:numPr>
          <w:ilvl w:val="0"/>
          <w:numId w:val="27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Светильник соответствует климатическому соответствию «</w:t>
      </w:r>
      <w:proofErr w:type="gramStart"/>
      <w:r w:rsidRPr="00701140">
        <w:rPr>
          <w:sz w:val="28"/>
          <w:szCs w:val="28"/>
          <w:vertAlign w:val="subscript"/>
        </w:rPr>
        <w:t>У»  категории</w:t>
      </w:r>
      <w:proofErr w:type="gramEnd"/>
      <w:r w:rsidRPr="00701140">
        <w:rPr>
          <w:sz w:val="28"/>
          <w:szCs w:val="28"/>
          <w:vertAlign w:val="subscript"/>
        </w:rPr>
        <w:t xml:space="preserve"> размещения 2 по ГОСТ 15150-69.</w:t>
      </w:r>
    </w:p>
    <w:p w:rsidR="00701140" w:rsidRDefault="00701140" w:rsidP="00462DE0">
      <w:pPr>
        <w:pStyle w:val="a4"/>
        <w:numPr>
          <w:ilvl w:val="0"/>
          <w:numId w:val="27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Способ крепления – на ровную поверхность с помощью шурупов или болтов.</w:t>
      </w:r>
    </w:p>
    <w:p w:rsidR="00701140" w:rsidRDefault="00701140" w:rsidP="00462DE0">
      <w:pPr>
        <w:pStyle w:val="a4"/>
        <w:numPr>
          <w:ilvl w:val="0"/>
          <w:numId w:val="27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Срок службы – 10 лет.</w:t>
      </w:r>
    </w:p>
    <w:p w:rsidR="00701140" w:rsidRDefault="00701140" w:rsidP="00462DE0">
      <w:pPr>
        <w:pStyle w:val="a4"/>
        <w:numPr>
          <w:ilvl w:val="0"/>
          <w:numId w:val="27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Остальные технические характеристики см. в таблице №1. ТУ 3461-001-86633016-2008.</w:t>
      </w:r>
    </w:p>
    <w:p w:rsidR="005235EE" w:rsidRPr="00701140" w:rsidRDefault="00701140" w:rsidP="00462DE0">
      <w:pPr>
        <w:pStyle w:val="a4"/>
        <w:numPr>
          <w:ilvl w:val="0"/>
          <w:numId w:val="27"/>
        </w:numPr>
        <w:spacing w:after="0" w:line="192" w:lineRule="auto"/>
        <w:ind w:left="709" w:hanging="283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Угол раскрытия луча -120 градусов.</w:t>
      </w:r>
    </w:p>
    <w:p w:rsidR="00701140" w:rsidRDefault="00701140" w:rsidP="00701140">
      <w:pPr>
        <w:spacing w:after="0" w:line="192" w:lineRule="auto"/>
        <w:ind w:left="360"/>
        <w:rPr>
          <w:sz w:val="28"/>
          <w:szCs w:val="28"/>
          <w:vertAlign w:val="subscript"/>
        </w:rPr>
      </w:pPr>
    </w:p>
    <w:p w:rsidR="007D6EF7" w:rsidRPr="005235EE" w:rsidRDefault="007D6EF7" w:rsidP="005235EE">
      <w:pPr>
        <w:spacing w:after="0" w:line="192" w:lineRule="auto"/>
        <w:ind w:left="360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Остальные технические характеристики см. в таблице №1. </w:t>
      </w: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DA03A7" w:rsidRDefault="00DA03A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462DE0" w:rsidRDefault="00462DE0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462DE0" w:rsidRDefault="00462DE0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DA03A7" w:rsidRDefault="00DA03A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701140" w:rsidRDefault="00701140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lastRenderedPageBreak/>
        <w:t>Таб. №1</w:t>
      </w:r>
    </w:p>
    <w:p w:rsidR="007D6EF7" w:rsidRPr="007D6EF7" w:rsidRDefault="00ED27B8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165735</wp:posOffset>
            </wp:positionV>
            <wp:extent cx="3400425" cy="177482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2126" w:type="dxa"/>
          </w:tcPr>
          <w:p w:rsidR="007D6EF7" w:rsidRPr="00541DD5" w:rsidRDefault="00701140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50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Тип индукционной лампы   </w:t>
            </w:r>
          </w:p>
        </w:tc>
        <w:tc>
          <w:tcPr>
            <w:tcW w:w="2126" w:type="dxa"/>
          </w:tcPr>
          <w:p w:rsidR="007D6EF7" w:rsidRPr="00541DD5" w:rsidRDefault="00DA03A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прямоугольный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</w:t>
            </w:r>
            <w:r>
              <w:rPr>
                <w:sz w:val="28"/>
                <w:szCs w:val="28"/>
                <w:vertAlign w:val="subscript"/>
              </w:rPr>
              <w:t>лампы</w:t>
            </w:r>
            <w:r w:rsidRPr="00541DD5">
              <w:rPr>
                <w:sz w:val="28"/>
                <w:szCs w:val="28"/>
                <w:vertAlign w:val="subscript"/>
              </w:rPr>
              <w:t>, Вт</w:t>
            </w:r>
          </w:p>
        </w:tc>
        <w:tc>
          <w:tcPr>
            <w:tcW w:w="2126" w:type="dxa"/>
          </w:tcPr>
          <w:p w:rsidR="007D6EF7" w:rsidRPr="00EB5B1B" w:rsidRDefault="00ED27B8" w:rsidP="00AC4741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80</w:t>
            </w:r>
            <w:r w:rsidR="00EB5B1B">
              <w:rPr>
                <w:sz w:val="28"/>
                <w:szCs w:val="28"/>
                <w:vertAlign w:val="subscript"/>
              </w:rPr>
              <w:t>-</w:t>
            </w:r>
            <w:r>
              <w:rPr>
                <w:sz w:val="28"/>
                <w:szCs w:val="28"/>
                <w:vertAlign w:val="subscript"/>
              </w:rPr>
              <w:t>12</w:t>
            </w:r>
            <w:r w:rsidR="00AC4741">
              <w:rPr>
                <w:sz w:val="28"/>
                <w:szCs w:val="28"/>
                <w:vertAlign w:val="subscript"/>
              </w:rPr>
              <w:t>0</w:t>
            </w:r>
            <w:r w:rsidR="00EB5B1B">
              <w:rPr>
                <w:sz w:val="28"/>
                <w:szCs w:val="28"/>
                <w:vertAlign w:val="subscript"/>
              </w:rPr>
              <w:t xml:space="preserve"> Вт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IP 6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Масса без лампы, кг.</w:t>
            </w:r>
          </w:p>
        </w:tc>
        <w:tc>
          <w:tcPr>
            <w:tcW w:w="2126" w:type="dxa"/>
          </w:tcPr>
          <w:p w:rsidR="007D6EF7" w:rsidRPr="00541DD5" w:rsidRDefault="00ED27B8" w:rsidP="00701140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3,2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Размер</w:t>
            </w:r>
          </w:p>
        </w:tc>
        <w:tc>
          <w:tcPr>
            <w:tcW w:w="2126" w:type="dxa"/>
          </w:tcPr>
          <w:p w:rsidR="00DA03A7" w:rsidRPr="00DA03A7" w:rsidRDefault="00ED27B8" w:rsidP="00ED27B8">
            <w:pPr>
              <w:spacing w:before="100" w:beforeAutospacing="1" w:after="100" w:afterAutospacing="1" w:line="192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01140">
              <w:rPr>
                <w:sz w:val="28"/>
                <w:szCs w:val="28"/>
                <w:vertAlign w:val="subscript"/>
              </w:rPr>
              <w:t>Ø</w:t>
            </w:r>
            <w:r w:rsidR="007D6EF7" w:rsidRPr="007D6EF7">
              <w:rPr>
                <w:sz w:val="28"/>
                <w:szCs w:val="28"/>
                <w:vertAlign w:val="subscript"/>
              </w:rPr>
              <w:t xml:space="preserve"> </w:t>
            </w:r>
            <w:r w:rsidR="007D6EF7">
              <w:rPr>
                <w:sz w:val="28"/>
                <w:szCs w:val="28"/>
                <w:vertAlign w:val="subscript"/>
              </w:rPr>
              <w:t>–</w:t>
            </w:r>
            <w:r w:rsidR="007D6EF7" w:rsidRPr="007D6EF7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385 </w:t>
            </w:r>
            <w:r w:rsidR="00AC4741">
              <w:rPr>
                <w:sz w:val="28"/>
                <w:szCs w:val="28"/>
                <w:vertAlign w:val="subscript"/>
              </w:rPr>
              <w:t>мм</w:t>
            </w:r>
            <w:r w:rsidR="00AC4741">
              <w:rPr>
                <w:sz w:val="28"/>
                <w:szCs w:val="28"/>
                <w:vertAlign w:val="subscript"/>
              </w:rPr>
              <w:br/>
            </w:r>
            <w:r w:rsidR="0092593C">
              <w:rPr>
                <w:sz w:val="28"/>
                <w:szCs w:val="28"/>
                <w:vertAlign w:val="subscript"/>
                <w:lang w:val="en-US"/>
              </w:rPr>
              <w:t xml:space="preserve">W – </w:t>
            </w:r>
            <w:r>
              <w:rPr>
                <w:sz w:val="28"/>
                <w:szCs w:val="28"/>
                <w:vertAlign w:val="subscript"/>
                <w:lang w:val="en-US"/>
              </w:rPr>
              <w:t>23</w:t>
            </w:r>
            <w:r w:rsidR="00AC4741">
              <w:rPr>
                <w:sz w:val="28"/>
                <w:szCs w:val="28"/>
                <w:vertAlign w:val="subscript"/>
              </w:rPr>
              <w:t>0</w:t>
            </w:r>
            <w:r w:rsidR="00DA03A7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DA03A7">
              <w:rPr>
                <w:sz w:val="28"/>
                <w:szCs w:val="28"/>
                <w:vertAlign w:val="subscript"/>
              </w:rPr>
              <w:t>мм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7D6EF7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Температура эксплуатации светильника</w:t>
            </w:r>
          </w:p>
        </w:tc>
        <w:tc>
          <w:tcPr>
            <w:tcW w:w="2126" w:type="dxa"/>
          </w:tcPr>
          <w:p w:rsidR="007D6EF7" w:rsidRPr="007D6EF7" w:rsidRDefault="007D6EF7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-</w:t>
            </w:r>
            <w:r w:rsidR="0092593C">
              <w:rPr>
                <w:sz w:val="28"/>
                <w:szCs w:val="28"/>
                <w:vertAlign w:val="subscript"/>
              </w:rPr>
              <w:t>4</w:t>
            </w:r>
            <w:r w:rsidRPr="007D6EF7">
              <w:rPr>
                <w:sz w:val="28"/>
                <w:szCs w:val="28"/>
                <w:vertAlign w:val="subscript"/>
              </w:rPr>
              <w:t>0°С до</w:t>
            </w:r>
            <w:r w:rsidR="00DA03A7">
              <w:rPr>
                <w:sz w:val="28"/>
                <w:szCs w:val="28"/>
                <w:vertAlign w:val="subscript"/>
              </w:rPr>
              <w:t xml:space="preserve"> </w:t>
            </w:r>
            <w:r w:rsidRPr="007D6EF7">
              <w:rPr>
                <w:sz w:val="28"/>
                <w:szCs w:val="28"/>
                <w:vertAlign w:val="subscript"/>
              </w:rPr>
              <w:t>+</w:t>
            </w:r>
            <w:r w:rsidR="00DA03A7">
              <w:rPr>
                <w:sz w:val="28"/>
                <w:szCs w:val="28"/>
                <w:vertAlign w:val="subscript"/>
              </w:rPr>
              <w:t>5</w:t>
            </w:r>
            <w:r w:rsidRPr="007D6EF7">
              <w:rPr>
                <w:sz w:val="28"/>
                <w:szCs w:val="28"/>
                <w:vertAlign w:val="subscript"/>
              </w:rPr>
              <w:t>0°С</w:t>
            </w:r>
          </w:p>
        </w:tc>
      </w:tr>
    </w:tbl>
    <w:p w:rsidR="007D6EF7" w:rsidRP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400266" w:rsidRPr="001343DF" w:rsidRDefault="007D6EF7" w:rsidP="007D6EF7">
      <w:pPr>
        <w:spacing w:after="0" w:line="200" w:lineRule="atLeast"/>
        <w:rPr>
          <w:b/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 </w:t>
      </w:r>
      <w:r w:rsidR="003F3DB0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vertAlign w:val="subscript"/>
        </w:rPr>
        <w:t>У</w:t>
      </w:r>
      <w:r w:rsidR="00400266" w:rsidRPr="001343DF">
        <w:rPr>
          <w:b/>
          <w:sz w:val="28"/>
          <w:szCs w:val="28"/>
          <w:vertAlign w:val="subscript"/>
        </w:rPr>
        <w:t xml:space="preserve">казания по технике безопасности 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Эксплуатация светильника производится в соответствии с «Правилами технической эксплуатации электроустановок потребителей»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Проверить комплектность светильника.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 xml:space="preserve">Отвинтить винты крышки электрического бокса и защитного стекла. Снять крышку и стекло. 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 xml:space="preserve">Закрепить дроссель винтами (шурупами) к пластине аппаратной части. Три провода питания дросселя необходимо завести на </w:t>
      </w:r>
      <w:proofErr w:type="spellStart"/>
      <w:r w:rsidRPr="00701140">
        <w:rPr>
          <w:sz w:val="28"/>
          <w:szCs w:val="28"/>
          <w:vertAlign w:val="subscript"/>
        </w:rPr>
        <w:t>клеммную</w:t>
      </w:r>
      <w:proofErr w:type="spellEnd"/>
      <w:r w:rsidRPr="00701140">
        <w:rPr>
          <w:sz w:val="28"/>
          <w:szCs w:val="28"/>
          <w:vertAlign w:val="subscript"/>
        </w:rPr>
        <w:t xml:space="preserve"> колодку, согласно схеме подключения.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Ввести в электрический бокс через уплотнительную втулку кабель (Ø9-12мм) электропитания.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 xml:space="preserve">Подключить предварительно разделанные концы кабеля к </w:t>
      </w:r>
      <w:proofErr w:type="spellStart"/>
      <w:r w:rsidRPr="00701140">
        <w:rPr>
          <w:sz w:val="28"/>
          <w:szCs w:val="28"/>
          <w:vertAlign w:val="subscript"/>
        </w:rPr>
        <w:t>клеммной</w:t>
      </w:r>
      <w:proofErr w:type="spellEnd"/>
      <w:r w:rsidRPr="00701140">
        <w:rPr>
          <w:sz w:val="28"/>
          <w:szCs w:val="28"/>
          <w:vertAlign w:val="subscript"/>
        </w:rPr>
        <w:t xml:space="preserve"> колодке в соответствии с указанной полярностью.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 xml:space="preserve">На металлический </w:t>
      </w:r>
      <w:proofErr w:type="spellStart"/>
      <w:r w:rsidRPr="00701140">
        <w:rPr>
          <w:sz w:val="28"/>
          <w:szCs w:val="28"/>
          <w:vertAlign w:val="subscript"/>
        </w:rPr>
        <w:t>рассеиватель</w:t>
      </w:r>
      <w:proofErr w:type="spellEnd"/>
      <w:r w:rsidRPr="00701140">
        <w:rPr>
          <w:sz w:val="28"/>
          <w:szCs w:val="28"/>
          <w:vertAlign w:val="subscript"/>
        </w:rPr>
        <w:t xml:space="preserve"> установить индукционную лампу и закрепить на направляющие (предварительно снять с лампы Г-образный крепёж).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 xml:space="preserve">Завести 2 провода от лампы в электрический бокс и соединить их с 2 проводами от дросселя ч/з </w:t>
      </w:r>
      <w:proofErr w:type="spellStart"/>
      <w:r w:rsidRPr="00701140">
        <w:rPr>
          <w:sz w:val="28"/>
          <w:szCs w:val="28"/>
          <w:vertAlign w:val="subscript"/>
        </w:rPr>
        <w:t>клеммную</w:t>
      </w:r>
      <w:proofErr w:type="spellEnd"/>
      <w:r w:rsidRPr="00701140">
        <w:rPr>
          <w:sz w:val="28"/>
          <w:szCs w:val="28"/>
          <w:vertAlign w:val="subscript"/>
        </w:rPr>
        <w:t xml:space="preserve"> колодку.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8818880</wp:posOffset>
            </wp:positionH>
            <wp:positionV relativeFrom="paragraph">
              <wp:posOffset>17145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140">
        <w:rPr>
          <w:sz w:val="28"/>
          <w:szCs w:val="28"/>
          <w:vertAlign w:val="subscript"/>
        </w:rPr>
        <w:t>Закрепить крышку бокса на корпусе защёлками (винтами).</w:t>
      </w:r>
    </w:p>
    <w:p w:rsid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Установить защитное стекло защёлками (винтами).</w:t>
      </w:r>
    </w:p>
    <w:p w:rsidR="00701140" w:rsidRPr="00701140" w:rsidRDefault="00701140" w:rsidP="00AC4741">
      <w:pPr>
        <w:pStyle w:val="a4"/>
        <w:numPr>
          <w:ilvl w:val="0"/>
          <w:numId w:val="26"/>
        </w:numPr>
        <w:spacing w:after="0" w:line="192" w:lineRule="auto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После установки светильника в рабочее положение болты фиксации с обеих сторон установочной лиры (скобы) затянуть до упора.</w:t>
      </w:r>
    </w:p>
    <w:p w:rsidR="00701140" w:rsidRDefault="00701140" w:rsidP="00AC4741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701140">
        <w:rPr>
          <w:sz w:val="28"/>
          <w:szCs w:val="28"/>
          <w:vertAlign w:val="subscript"/>
        </w:rPr>
        <w:t>Включить светильник в сеть.</w:t>
      </w:r>
    </w:p>
    <w:p w:rsidR="00DF167F" w:rsidRPr="00701140" w:rsidRDefault="00DF167F" w:rsidP="00701140">
      <w:pPr>
        <w:spacing w:after="0" w:line="192" w:lineRule="auto"/>
        <w:ind w:left="357"/>
        <w:rPr>
          <w:b/>
          <w:sz w:val="28"/>
          <w:szCs w:val="28"/>
          <w:vertAlign w:val="subscript"/>
        </w:rPr>
      </w:pP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Проверить комплектность светильника.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Эксплуатация светильника производится в соответствии с «Правилами технической эксплуатации электроустановок потребителей»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vertAlign w:val="subscript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22225</wp:posOffset>
            </wp:positionV>
            <wp:extent cx="3107055" cy="833120"/>
            <wp:effectExtent l="19050" t="0" r="0" b="0"/>
            <wp:wrapSquare wrapText="bothSides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5EE">
        <w:rPr>
          <w:sz w:val="28"/>
          <w:szCs w:val="28"/>
          <w:vertAlign w:val="subscript"/>
        </w:rPr>
        <w:t>Открыть верхнюю крышку светильника, отщелкнув клипсы.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Светильник установить на трубу опоры 48-60 мм и закрепить двумя болтами.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Ввести внутрь корпуса сетевые провода. Подключить провода к </w:t>
      </w:r>
      <w:proofErr w:type="spellStart"/>
      <w:r w:rsidRPr="005235EE">
        <w:rPr>
          <w:sz w:val="28"/>
          <w:szCs w:val="28"/>
          <w:vertAlign w:val="subscript"/>
        </w:rPr>
        <w:t>клеммной</w:t>
      </w:r>
      <w:proofErr w:type="spellEnd"/>
      <w:r w:rsidRPr="005235EE">
        <w:rPr>
          <w:sz w:val="28"/>
          <w:szCs w:val="28"/>
          <w:vertAlign w:val="subscript"/>
        </w:rPr>
        <w:t xml:space="preserve"> колодке в соответствии с полярностью. Ввести в электрический бокс кабель (Ø 9-12мм) электропитания.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Закрепить крышку бокса на корпусе защёлками (винтами).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Установить защитное стекло защёлками (винтами).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После установки светильника в рабочее положение болты фиксации с обеих сторон установочной лиры 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скобы) затянуть до упора.</w:t>
      </w:r>
    </w:p>
    <w:p w:rsid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 Включить светильник в сеть.</w:t>
      </w:r>
    </w:p>
    <w:p w:rsidR="00D30C0D" w:rsidRPr="005235EE" w:rsidRDefault="005235EE" w:rsidP="005235EE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br/>
      </w:r>
      <w:r w:rsidR="00D30C0D" w:rsidRPr="005235EE">
        <w:rPr>
          <w:b/>
          <w:sz w:val="28"/>
          <w:szCs w:val="28"/>
          <w:vertAlign w:val="subscript"/>
        </w:rPr>
        <w:t>ВНИМАНИЕ! Если в аппаратной части присутствуют иные металлические элементы или керамический цоколь E</w:t>
      </w:r>
      <w:proofErr w:type="gramStart"/>
      <w:r w:rsidR="00D30C0D" w:rsidRPr="005235EE">
        <w:rPr>
          <w:b/>
          <w:sz w:val="28"/>
          <w:szCs w:val="28"/>
          <w:vertAlign w:val="subscript"/>
        </w:rPr>
        <w:t xml:space="preserve">40,  </w:t>
      </w:r>
      <w:r>
        <w:rPr>
          <w:b/>
          <w:sz w:val="28"/>
          <w:szCs w:val="28"/>
          <w:vertAlign w:val="subscript"/>
        </w:rPr>
        <w:t>м</w:t>
      </w:r>
      <w:r w:rsidR="00D30C0D" w:rsidRPr="005235EE">
        <w:rPr>
          <w:b/>
          <w:sz w:val="28"/>
          <w:szCs w:val="28"/>
          <w:vertAlign w:val="subscript"/>
        </w:rPr>
        <w:t>ешающие</w:t>
      </w:r>
      <w:proofErr w:type="gramEnd"/>
      <w:r w:rsidR="00D30C0D" w:rsidRPr="005235EE">
        <w:rPr>
          <w:b/>
          <w:sz w:val="28"/>
          <w:szCs w:val="28"/>
          <w:vertAlign w:val="subscript"/>
        </w:rPr>
        <w:t xml:space="preserve"> установке дросселя, то их необходимо вынуть и далее в сборке не использовать. </w:t>
      </w:r>
      <w:proofErr w:type="gramStart"/>
      <w:r w:rsidR="00D30C0D" w:rsidRPr="005235EE">
        <w:rPr>
          <w:b/>
          <w:sz w:val="28"/>
          <w:szCs w:val="28"/>
          <w:vertAlign w:val="subscript"/>
        </w:rPr>
        <w:t>В  электрическом</w:t>
      </w:r>
      <w:proofErr w:type="gramEnd"/>
      <w:r w:rsidR="00D30C0D" w:rsidRPr="005235EE">
        <w:rPr>
          <w:b/>
          <w:sz w:val="28"/>
          <w:szCs w:val="28"/>
          <w:vertAlign w:val="subscript"/>
        </w:rPr>
        <w:t xml:space="preserve"> боксе должны остаться: пластина, дроссель и </w:t>
      </w:r>
      <w:proofErr w:type="spellStart"/>
      <w:r w:rsidR="00D30C0D" w:rsidRPr="005235EE">
        <w:rPr>
          <w:b/>
          <w:sz w:val="28"/>
          <w:szCs w:val="28"/>
          <w:vertAlign w:val="subscript"/>
        </w:rPr>
        <w:t>клеммные</w:t>
      </w:r>
      <w:proofErr w:type="spellEnd"/>
      <w:r w:rsidR="00D30C0D" w:rsidRPr="005235EE">
        <w:rPr>
          <w:b/>
          <w:sz w:val="28"/>
          <w:szCs w:val="28"/>
          <w:vertAlign w:val="subscript"/>
        </w:rPr>
        <w:t xml:space="preserve"> колодки.</w:t>
      </w:r>
    </w:p>
    <w:p w:rsidR="00D30C0D" w:rsidRDefault="00D30C0D" w:rsidP="00D30C0D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Открыть защитное устройство – стекло (при его наличии).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Заменить перегоревшую лампу или дроссель.</w:t>
      </w:r>
    </w:p>
    <w:p w:rsidR="00737216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Для сохранения светотехнических характеристик очистить от пыли внутреннюю поверхность отражателя и защитное</w:t>
      </w:r>
      <w:r>
        <w:rPr>
          <w:sz w:val="28"/>
          <w:szCs w:val="28"/>
          <w:vertAlign w:val="subscript"/>
        </w:rPr>
        <w:t xml:space="preserve"> </w:t>
      </w:r>
      <w:r w:rsidRPr="00D30C0D">
        <w:rPr>
          <w:sz w:val="28"/>
          <w:szCs w:val="28"/>
          <w:vertAlign w:val="subscript"/>
        </w:rPr>
        <w:t>стекло ветошью (в зависимости от исполнения).</w:t>
      </w:r>
    </w:p>
    <w:p w:rsidR="003D1E93" w:rsidRPr="001343DF" w:rsidRDefault="003D1E93" w:rsidP="003D1E93">
      <w:pPr>
        <w:pStyle w:val="a4"/>
        <w:spacing w:after="0" w:line="192" w:lineRule="auto"/>
        <w:ind w:left="709"/>
        <w:rPr>
          <w:b/>
          <w:sz w:val="28"/>
          <w:szCs w:val="28"/>
          <w:vertAlign w:val="subscript"/>
        </w:rPr>
      </w:pP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D30C0D" w:rsidRPr="00D30C0D" w:rsidRDefault="00D30C0D" w:rsidP="00D30C0D">
      <w:pPr>
        <w:pStyle w:val="a4"/>
        <w:numPr>
          <w:ilvl w:val="0"/>
          <w:numId w:val="23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Светильники должны храниться в помещениях при температуре воздуха от -50 </w:t>
      </w:r>
      <w:proofErr w:type="gramStart"/>
      <w:r w:rsidRPr="00D30C0D">
        <w:rPr>
          <w:sz w:val="28"/>
          <w:szCs w:val="28"/>
          <w:vertAlign w:val="subscript"/>
        </w:rPr>
        <w:t>С</w:t>
      </w:r>
      <w:proofErr w:type="gramEnd"/>
      <w:r w:rsidRPr="00D30C0D">
        <w:rPr>
          <w:sz w:val="28"/>
          <w:szCs w:val="28"/>
          <w:vertAlign w:val="subscript"/>
        </w:rPr>
        <w:t xml:space="preserve"> до +50 С и относительной влажности не более 60%. Срок хранения 1 год со дня отгрузки.</w:t>
      </w:r>
    </w:p>
    <w:p w:rsidR="00DF167F" w:rsidRDefault="00DF167F" w:rsidP="00D30C0D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737216" w:rsidRPr="001343DF" w:rsidRDefault="00737216" w:rsidP="00D30C0D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DF167F" w:rsidRDefault="00DF167F" w:rsidP="008C3BF4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Гарантия на светильник 60 месяцев, со дня изготовления светильника.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 и эксплуатации составляет 10 лет.</w:t>
      </w:r>
    </w:p>
    <w:p w:rsidR="008C3BF4" w:rsidRDefault="008C3BF4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3141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88"/>
        <w:gridCol w:w="1604"/>
        <w:gridCol w:w="2233"/>
        <w:gridCol w:w="2596"/>
        <w:gridCol w:w="1987"/>
        <w:gridCol w:w="613"/>
        <w:gridCol w:w="1278"/>
        <w:gridCol w:w="621"/>
      </w:tblGrid>
      <w:tr w:rsidR="00980D38" w:rsidRPr="00ED27B8" w:rsidTr="00980D38">
        <w:tc>
          <w:tcPr>
            <w:tcW w:w="421" w:type="dxa"/>
            <w:shd w:val="clear" w:color="auto" w:fill="FBD822"/>
            <w:vAlign w:val="center"/>
          </w:tcPr>
          <w:p w:rsidR="00ED27B8" w:rsidRPr="00ED27B8" w:rsidRDefault="00ED27B8" w:rsidP="00ED27B8">
            <w:pPr>
              <w:pStyle w:val="4"/>
              <w:spacing w:before="120" w:after="120" w:line="240" w:lineRule="auto"/>
              <w:jc w:val="center"/>
              <w:textAlignment w:val="baseline"/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788" w:type="dxa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  <w:lang w:eastAsia="ru-RU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0" w:type="auto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Мощность (W)</w:t>
            </w:r>
          </w:p>
        </w:tc>
        <w:tc>
          <w:tcPr>
            <w:tcW w:w="0" w:type="auto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Световой поток (</w:t>
            </w:r>
            <w:proofErr w:type="spellStart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Lm</w:t>
            </w:r>
            <w:proofErr w:type="spellEnd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596" w:type="dxa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proofErr w:type="spellStart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Фотопическая</w:t>
            </w:r>
            <w:proofErr w:type="spellEnd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эффективность (</w:t>
            </w:r>
            <w:proofErr w:type="spellStart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Флм</w:t>
            </w:r>
            <w:proofErr w:type="spellEnd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 </w:t>
            </w:r>
          </w:p>
        </w:tc>
        <w:tc>
          <w:tcPr>
            <w:tcW w:w="1987" w:type="dxa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Напряжение (V)</w:t>
            </w:r>
          </w:p>
        </w:tc>
        <w:tc>
          <w:tcPr>
            <w:tcW w:w="0" w:type="auto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proofErr w:type="spellStart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Cos</w:t>
            </w:r>
            <w:proofErr w:type="spellEnd"/>
            <w:r w:rsidRPr="00ED27B8"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φ</w:t>
            </w:r>
          </w:p>
        </w:tc>
        <w:tc>
          <w:tcPr>
            <w:tcW w:w="1278" w:type="dxa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Входной ток (А)</w:t>
            </w:r>
          </w:p>
        </w:tc>
        <w:tc>
          <w:tcPr>
            <w:tcW w:w="621" w:type="dxa"/>
            <w:shd w:val="clear" w:color="auto" w:fill="FBD822"/>
            <w:vAlign w:val="center"/>
            <w:hideMark/>
          </w:tcPr>
          <w:p w:rsidR="00ED27B8" w:rsidRPr="00ED27B8" w:rsidRDefault="00ED27B8" w:rsidP="00ED27B8">
            <w:pPr>
              <w:pStyle w:val="4"/>
              <w:spacing w:before="120" w:after="120"/>
              <w:jc w:val="center"/>
              <w:textAlignment w:val="baseline"/>
              <w:rPr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Вес (кг/</w:t>
            </w:r>
            <w:proofErr w:type="spellStart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шт</w:t>
            </w:r>
            <w:proofErr w:type="spellEnd"/>
            <w:r w:rsidRPr="00ED27B8">
              <w:rPr>
                <w:rStyle w:val="a7"/>
                <w:rFonts w:asciiTheme="minorHAnsi" w:hAnsiTheme="minorHAnsi" w:cstheme="minorHAnsi"/>
                <w:bCs w:val="0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980D38" w:rsidRPr="00ED27B8" w:rsidTr="00980D38">
        <w:tc>
          <w:tcPr>
            <w:tcW w:w="0" w:type="auto"/>
            <w:vAlign w:val="center"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STN – GR04 40W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596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5488</w:t>
            </w:r>
          </w:p>
        </w:tc>
        <w:tc>
          <w:tcPr>
            <w:tcW w:w="1987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100-277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0.60-0.10</w:t>
            </w:r>
          </w:p>
        </w:tc>
        <w:tc>
          <w:tcPr>
            <w:tcW w:w="621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6,65</w:t>
            </w:r>
          </w:p>
        </w:tc>
      </w:tr>
      <w:tr w:rsidR="00ED27B8" w:rsidRPr="00ED27B8" w:rsidTr="00980D38">
        <w:tc>
          <w:tcPr>
            <w:tcW w:w="0" w:type="auto"/>
            <w:shd w:val="clear" w:color="auto" w:fill="F9F9F9"/>
            <w:vAlign w:val="center"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STN – GR04 60W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596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8820</w:t>
            </w:r>
          </w:p>
        </w:tc>
        <w:tc>
          <w:tcPr>
            <w:tcW w:w="1987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100-277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0.80-0.10</w:t>
            </w:r>
          </w:p>
        </w:tc>
        <w:tc>
          <w:tcPr>
            <w:tcW w:w="621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6,85</w:t>
            </w:r>
          </w:p>
        </w:tc>
      </w:tr>
      <w:tr w:rsidR="00980D38" w:rsidRPr="00ED27B8" w:rsidTr="00980D38">
        <w:tc>
          <w:tcPr>
            <w:tcW w:w="0" w:type="auto"/>
            <w:vAlign w:val="center"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STN – GR04 80W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596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11760</w:t>
            </w:r>
          </w:p>
        </w:tc>
        <w:tc>
          <w:tcPr>
            <w:tcW w:w="1987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100-277</w:t>
            </w:r>
          </w:p>
        </w:tc>
        <w:tc>
          <w:tcPr>
            <w:tcW w:w="0" w:type="auto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8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0.91–0.33</w:t>
            </w:r>
          </w:p>
        </w:tc>
        <w:tc>
          <w:tcPr>
            <w:tcW w:w="621" w:type="dxa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8,05</w:t>
            </w:r>
          </w:p>
        </w:tc>
      </w:tr>
      <w:tr w:rsidR="00ED27B8" w:rsidRPr="00ED27B8" w:rsidTr="00980D38">
        <w:tc>
          <w:tcPr>
            <w:tcW w:w="0" w:type="auto"/>
            <w:shd w:val="clear" w:color="auto" w:fill="F9F9F9"/>
            <w:vAlign w:val="center"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STN – GR04 100W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596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1987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100-277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78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pStyle w:val="a8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1.13–0.40</w:t>
            </w:r>
          </w:p>
        </w:tc>
        <w:tc>
          <w:tcPr>
            <w:tcW w:w="621" w:type="dxa"/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bottom"/>
            <w:hideMark/>
          </w:tcPr>
          <w:p w:rsidR="00ED27B8" w:rsidRPr="00ED27B8" w:rsidRDefault="00ED27B8" w:rsidP="00ED27B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27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8,05</w:t>
            </w:r>
          </w:p>
        </w:tc>
      </w:tr>
    </w:tbl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B2216">
      <w:pPr>
        <w:pStyle w:val="a4"/>
        <w:spacing w:after="0" w:line="192" w:lineRule="auto"/>
        <w:ind w:left="426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D2529F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D2529F">
        <w:rPr>
          <w:sz w:val="28"/>
          <w:szCs w:val="28"/>
          <w:vertAlign w:val="subscript"/>
        </w:rPr>
        <w:t>.: +7 (3852) 50-14-72</w:t>
      </w:r>
    </w:p>
    <w:p w:rsidR="00E52FA8" w:rsidRPr="00D2529F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D2529F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D2529F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D2529F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D2529F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D2529F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DF167F" w:rsidRDefault="00DF167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D1193A" w:rsidRDefault="00D1193A" w:rsidP="00D1193A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541DD5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EA617E"/>
    <w:multiLevelType w:val="hybridMultilevel"/>
    <w:tmpl w:val="CC4ABB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855DCD"/>
    <w:multiLevelType w:val="hybridMultilevel"/>
    <w:tmpl w:val="84F6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B85"/>
    <w:multiLevelType w:val="hybridMultilevel"/>
    <w:tmpl w:val="56A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A181E06"/>
    <w:multiLevelType w:val="hybridMultilevel"/>
    <w:tmpl w:val="F62C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EE756D4"/>
    <w:multiLevelType w:val="hybridMultilevel"/>
    <w:tmpl w:val="783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45FF"/>
    <w:multiLevelType w:val="hybridMultilevel"/>
    <w:tmpl w:val="1598B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0041359"/>
    <w:multiLevelType w:val="hybridMultilevel"/>
    <w:tmpl w:val="E310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1"/>
  </w:num>
  <w:num w:numId="5">
    <w:abstractNumId w:val="1"/>
  </w:num>
  <w:num w:numId="6">
    <w:abstractNumId w:val="19"/>
  </w:num>
  <w:num w:numId="7">
    <w:abstractNumId w:val="9"/>
  </w:num>
  <w:num w:numId="8">
    <w:abstractNumId w:val="11"/>
  </w:num>
  <w:num w:numId="9">
    <w:abstractNumId w:val="25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15"/>
  </w:num>
  <w:num w:numId="18">
    <w:abstractNumId w:val="8"/>
  </w:num>
  <w:num w:numId="19">
    <w:abstractNumId w:val="24"/>
  </w:num>
  <w:num w:numId="20">
    <w:abstractNumId w:val="26"/>
  </w:num>
  <w:num w:numId="21">
    <w:abstractNumId w:val="10"/>
  </w:num>
  <w:num w:numId="22">
    <w:abstractNumId w:val="3"/>
  </w:num>
  <w:num w:numId="23">
    <w:abstractNumId w:val="12"/>
  </w:num>
  <w:num w:numId="24">
    <w:abstractNumId w:val="23"/>
  </w:num>
  <w:num w:numId="25">
    <w:abstractNumId w:val="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66"/>
    <w:rsid w:val="00015878"/>
    <w:rsid w:val="000256C5"/>
    <w:rsid w:val="00034613"/>
    <w:rsid w:val="000B2216"/>
    <w:rsid w:val="000C16F8"/>
    <w:rsid w:val="00104114"/>
    <w:rsid w:val="001343DF"/>
    <w:rsid w:val="00185058"/>
    <w:rsid w:val="001D41E9"/>
    <w:rsid w:val="00267D84"/>
    <w:rsid w:val="003947C3"/>
    <w:rsid w:val="0039644B"/>
    <w:rsid w:val="003C744A"/>
    <w:rsid w:val="003D1E93"/>
    <w:rsid w:val="003E086E"/>
    <w:rsid w:val="003F3DB0"/>
    <w:rsid w:val="00400266"/>
    <w:rsid w:val="00412F40"/>
    <w:rsid w:val="00462DE0"/>
    <w:rsid w:val="00511F07"/>
    <w:rsid w:val="0052157D"/>
    <w:rsid w:val="005235EE"/>
    <w:rsid w:val="00541DD5"/>
    <w:rsid w:val="00553C7C"/>
    <w:rsid w:val="00701140"/>
    <w:rsid w:val="00714919"/>
    <w:rsid w:val="00737216"/>
    <w:rsid w:val="007447A4"/>
    <w:rsid w:val="007D6EF7"/>
    <w:rsid w:val="007F1343"/>
    <w:rsid w:val="00880A4D"/>
    <w:rsid w:val="00891FFA"/>
    <w:rsid w:val="008B4495"/>
    <w:rsid w:val="008C3BF4"/>
    <w:rsid w:val="00923725"/>
    <w:rsid w:val="0092593C"/>
    <w:rsid w:val="00980D38"/>
    <w:rsid w:val="009A70E6"/>
    <w:rsid w:val="00A26B01"/>
    <w:rsid w:val="00A75DE1"/>
    <w:rsid w:val="00AC4741"/>
    <w:rsid w:val="00AC76AD"/>
    <w:rsid w:val="00B04527"/>
    <w:rsid w:val="00B11D51"/>
    <w:rsid w:val="00B16AFB"/>
    <w:rsid w:val="00BB0995"/>
    <w:rsid w:val="00BF11D9"/>
    <w:rsid w:val="00C149EA"/>
    <w:rsid w:val="00CB377E"/>
    <w:rsid w:val="00D1193A"/>
    <w:rsid w:val="00D2529F"/>
    <w:rsid w:val="00D30C0D"/>
    <w:rsid w:val="00D40729"/>
    <w:rsid w:val="00D603F4"/>
    <w:rsid w:val="00D654C4"/>
    <w:rsid w:val="00DA03A7"/>
    <w:rsid w:val="00DF167F"/>
    <w:rsid w:val="00DF26C6"/>
    <w:rsid w:val="00E17841"/>
    <w:rsid w:val="00E52FA8"/>
    <w:rsid w:val="00EB5B1B"/>
    <w:rsid w:val="00ED27B8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0248-08F0-4FA0-B1DD-25A13C1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96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529F"/>
    <w:rPr>
      <w:b/>
      <w:bCs/>
    </w:rPr>
  </w:style>
  <w:style w:type="paragraph" w:styleId="a8">
    <w:name w:val="Normal (Web)"/>
    <w:basedOn w:val="a"/>
    <w:uiPriority w:val="99"/>
    <w:unhideWhenUsed/>
    <w:rsid w:val="00D2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964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364A-1627-41AB-994D-8EBC1B7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</dc:creator>
  <cp:lastModifiedBy>FeelFly</cp:lastModifiedBy>
  <cp:revision>5</cp:revision>
  <dcterms:created xsi:type="dcterms:W3CDTF">2020-05-28T03:16:00Z</dcterms:created>
  <dcterms:modified xsi:type="dcterms:W3CDTF">2021-06-17T10:00:00Z</dcterms:modified>
</cp:coreProperties>
</file>