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679"/>
        <w:gridCol w:w="1017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4933CA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756711" wp14:editId="64E99980">
                  <wp:extent cx="6315075" cy="571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DB3CE1">
        <w:rPr>
          <w:b/>
          <w:sz w:val="32"/>
          <w:szCs w:val="32"/>
        </w:rPr>
        <w:t>промышленный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DB3CE1">
        <w:rPr>
          <w:b/>
          <w:sz w:val="56"/>
          <w:szCs w:val="56"/>
          <w:lang w:val="en-US"/>
        </w:rPr>
        <w:t>FORTIS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1343DF" w:rsidRPr="001343DF" w:rsidRDefault="00F826D5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С</w:t>
      </w:r>
      <w:r w:rsidR="001343DF" w:rsidRPr="001343DF">
        <w:rPr>
          <w:sz w:val="28"/>
          <w:szCs w:val="28"/>
          <w:vertAlign w:val="subscript"/>
        </w:rPr>
        <w:t>ветильник</w:t>
      </w:r>
      <w:r>
        <w:rPr>
          <w:sz w:val="28"/>
          <w:szCs w:val="28"/>
          <w:vertAlign w:val="subscript"/>
        </w:rPr>
        <w:t xml:space="preserve"> консольный, </w:t>
      </w:r>
      <w:r w:rsidR="001343DF" w:rsidRPr="001343DF">
        <w:rPr>
          <w:sz w:val="28"/>
          <w:szCs w:val="28"/>
          <w:vertAlign w:val="subscript"/>
        </w:rPr>
        <w:t>стационарный</w:t>
      </w:r>
      <w:r>
        <w:rPr>
          <w:sz w:val="28"/>
          <w:szCs w:val="28"/>
          <w:vertAlign w:val="subscript"/>
        </w:rPr>
        <w:t>,</w:t>
      </w:r>
      <w:r w:rsidR="001343DF" w:rsidRPr="001343DF">
        <w:rPr>
          <w:sz w:val="28"/>
          <w:szCs w:val="28"/>
          <w:vertAlign w:val="subscript"/>
        </w:rPr>
        <w:t xml:space="preserve"> на полупроводниковых источниках света (светодиодах), предназначен для </w:t>
      </w:r>
      <w:proofErr w:type="spellStart"/>
      <w:r w:rsidR="00EC73E5" w:rsidRPr="00EC73E5">
        <w:rPr>
          <w:sz w:val="28"/>
          <w:szCs w:val="28"/>
          <w:vertAlign w:val="subscript"/>
        </w:rPr>
        <w:t>для</w:t>
      </w:r>
      <w:proofErr w:type="spellEnd"/>
      <w:r w:rsidR="00EC73E5" w:rsidRPr="00EC73E5">
        <w:rPr>
          <w:sz w:val="28"/>
          <w:szCs w:val="28"/>
          <w:vertAlign w:val="subscript"/>
        </w:rPr>
        <w:t xml:space="preserve"> освещения помещений c повышенной влажностью</w:t>
      </w:r>
      <w:r w:rsidR="001343DF" w:rsidRPr="001343DF">
        <w:rPr>
          <w:sz w:val="28"/>
          <w:szCs w:val="28"/>
          <w:vertAlign w:val="subscript"/>
        </w:rPr>
        <w:t>. Качество электроэнергии должно соответствовать ГОСТ 32144-2013.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Для светильников, выпускаемых в исполнении УХЛ</w:t>
      </w:r>
      <w:r w:rsidR="004933CA">
        <w:rPr>
          <w:sz w:val="28"/>
          <w:szCs w:val="28"/>
          <w:vertAlign w:val="subscript"/>
        </w:rPr>
        <w:t>2</w:t>
      </w:r>
      <w:r w:rsidRPr="001343DF">
        <w:rPr>
          <w:sz w:val="28"/>
          <w:szCs w:val="28"/>
          <w:vertAlign w:val="subscript"/>
        </w:rPr>
        <w:t>* по ГОСТ 15150-69, нижнее рабочее значение температуры окружающего воздуха -4</w:t>
      </w:r>
      <w:r w:rsidR="004933CA">
        <w:rPr>
          <w:sz w:val="28"/>
          <w:szCs w:val="28"/>
          <w:vertAlign w:val="subscript"/>
        </w:rPr>
        <w:t>0</w:t>
      </w:r>
      <w:r w:rsidRPr="001343DF">
        <w:rPr>
          <w:sz w:val="28"/>
          <w:szCs w:val="28"/>
          <w:vertAlign w:val="subscript"/>
        </w:rPr>
        <w:t>°С.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совместимость технических средств».</w:t>
      </w:r>
    </w:p>
    <w:p w:rsidR="00CB377E" w:rsidRPr="001343DF" w:rsidRDefault="00DB3CE1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396240</wp:posOffset>
            </wp:positionV>
            <wp:extent cx="3205480" cy="2015490"/>
            <wp:effectExtent l="19050" t="0" r="0" b="0"/>
            <wp:wrapSquare wrapText="bothSides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4E3682" w:rsidRPr="00541DD5" w:rsidTr="004E3682">
        <w:tc>
          <w:tcPr>
            <w:tcW w:w="3026" w:type="dxa"/>
          </w:tcPr>
          <w:p w:rsidR="004E3682" w:rsidRPr="00541DD5" w:rsidRDefault="004E3682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1016" w:type="dxa"/>
          </w:tcPr>
          <w:p w:rsidR="004E3682" w:rsidRPr="000C687A" w:rsidRDefault="00FF5234" w:rsidP="00FF523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3</w:t>
            </w:r>
            <w:r w:rsidR="004E3682">
              <w:rPr>
                <w:sz w:val="28"/>
                <w:szCs w:val="28"/>
                <w:vertAlign w:val="subscript"/>
              </w:rPr>
              <w:t>0-</w:t>
            </w:r>
            <w:r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4E3682" w:rsidRPr="00541DD5" w:rsidTr="004E3682">
        <w:tc>
          <w:tcPr>
            <w:tcW w:w="3026" w:type="dxa"/>
          </w:tcPr>
          <w:p w:rsidR="004E3682" w:rsidRPr="00541DD5" w:rsidRDefault="004E3682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1016" w:type="dxa"/>
          </w:tcPr>
          <w:p w:rsidR="004E3682" w:rsidRPr="00541DD5" w:rsidRDefault="00FF5234" w:rsidP="004933CA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IP 65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1016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123153" w:rsidRDefault="0012315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lastRenderedPageBreak/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034613" w:rsidRPr="00B645CE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1768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16"/>
        <w:gridCol w:w="1138"/>
        <w:gridCol w:w="1034"/>
        <w:gridCol w:w="981"/>
        <w:gridCol w:w="1044"/>
        <w:gridCol w:w="1157"/>
        <w:gridCol w:w="1912"/>
      </w:tblGrid>
      <w:tr w:rsidR="00DB3CE1" w:rsidRPr="00DB3CE1" w:rsidTr="00DB3CE1"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Мощность (Вт)  ± 5%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Индекс цветопередачи (CRI)</w:t>
            </w:r>
          </w:p>
        </w:tc>
        <w:tc>
          <w:tcPr>
            <w:tcW w:w="1034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Рассеиватель</w:t>
            </w:r>
            <w:proofErr w:type="spellEnd"/>
          </w:p>
        </w:tc>
        <w:tc>
          <w:tcPr>
            <w:tcW w:w="981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(</w:t>
            </w:r>
            <w:proofErr w:type="spellStart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Lm</w:t>
            </w:r>
            <w:proofErr w:type="spellEnd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), после </w:t>
            </w:r>
            <w:proofErr w:type="spellStart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рассеивателя</w:t>
            </w:r>
            <w:proofErr w:type="spellEnd"/>
          </w:p>
        </w:tc>
        <w:tc>
          <w:tcPr>
            <w:tcW w:w="1157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</w:t>
            </w: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br/>
              <w:t>LED матрицы (</w:t>
            </w:r>
            <w:proofErr w:type="spellStart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</w:tr>
      <w:tr w:rsidR="00DB3CE1" w:rsidRPr="00DB3CE1" w:rsidTr="00DB3CE1">
        <w:tc>
          <w:tcPr>
            <w:tcW w:w="3686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FORTIS LED 45 ECO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981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1157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12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DB3CE1" w:rsidRPr="00DB3CE1" w:rsidTr="00DB3CE1">
        <w:tc>
          <w:tcPr>
            <w:tcW w:w="3686" w:type="dxa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FORTIS LED 45 ECO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DB3CE1" w:rsidRPr="00DB3CE1" w:rsidTr="00DB3CE1">
        <w:tc>
          <w:tcPr>
            <w:tcW w:w="3686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FORTIS LED 55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981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15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912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DB3CE1" w:rsidRPr="00DB3CE1" w:rsidTr="00DB3CE1">
        <w:tc>
          <w:tcPr>
            <w:tcW w:w="3686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FORTIS LED 55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981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15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912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DB3CE1" w:rsidRPr="00DB3CE1" w:rsidTr="00DB3CE1">
        <w:tc>
          <w:tcPr>
            <w:tcW w:w="3686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FORTIS LED 55 PRO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981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157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12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DB3CE1" w:rsidRPr="00DB3CE1" w:rsidTr="00DB3CE1">
        <w:tc>
          <w:tcPr>
            <w:tcW w:w="3686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FORTIS LED 55 PRO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981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157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12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B3CE1" w:rsidRPr="00DB3CE1" w:rsidRDefault="00DB3CE1" w:rsidP="00DB3C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B3C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Климатическое исполнение УХЛ</w:t>
      </w:r>
      <w:r w:rsidR="004933CA">
        <w:rPr>
          <w:sz w:val="28"/>
          <w:szCs w:val="28"/>
          <w:vertAlign w:val="subscript"/>
        </w:rPr>
        <w:t>2</w:t>
      </w:r>
      <w:r w:rsidRPr="000256C5">
        <w:rPr>
          <w:sz w:val="28"/>
          <w:szCs w:val="28"/>
          <w:vertAlign w:val="subscript"/>
        </w:rPr>
        <w:t xml:space="preserve">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tbl>
      <w:tblPr>
        <w:tblpPr w:leftFromText="180" w:rightFromText="180" w:vertAnchor="text" w:horzAnchor="page" w:tblpX="9443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123153" w:rsidRPr="00541DD5" w:rsidTr="00123153">
        <w:tc>
          <w:tcPr>
            <w:tcW w:w="158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123153" w:rsidRPr="00541DD5" w:rsidTr="00123153">
        <w:tc>
          <w:tcPr>
            <w:tcW w:w="158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123153" w:rsidRPr="00541DD5" w:rsidTr="00123153">
        <w:tc>
          <w:tcPr>
            <w:tcW w:w="158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123153" w:rsidRPr="00541DD5" w:rsidTr="00123153">
        <w:tc>
          <w:tcPr>
            <w:tcW w:w="158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23153" w:rsidRPr="00541DD5" w:rsidRDefault="00123153" w:rsidP="00123153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EC73E5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EC73E5">
        <w:rPr>
          <w:sz w:val="28"/>
          <w:szCs w:val="28"/>
          <w:vertAlign w:val="subscript"/>
        </w:rPr>
        <w:t>.: +7 (3852) 50-14-72</w:t>
      </w:r>
    </w:p>
    <w:p w:rsidR="00E52FA8" w:rsidRPr="00EC73E5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EC73E5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EC73E5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EC73E5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EC73E5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EC73E5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B645CE" w:rsidRDefault="00B645CE" w:rsidP="00B645CE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123153">
      <w:pgSz w:w="16838" w:h="11906" w:orient="landscape"/>
      <w:pgMar w:top="142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123153"/>
    <w:rsid w:val="001343DF"/>
    <w:rsid w:val="00185058"/>
    <w:rsid w:val="00267D84"/>
    <w:rsid w:val="003947C3"/>
    <w:rsid w:val="003C744A"/>
    <w:rsid w:val="003D1E93"/>
    <w:rsid w:val="003F3DB0"/>
    <w:rsid w:val="00400266"/>
    <w:rsid w:val="00412F40"/>
    <w:rsid w:val="004933CA"/>
    <w:rsid w:val="004E3682"/>
    <w:rsid w:val="00541DD5"/>
    <w:rsid w:val="005D5665"/>
    <w:rsid w:val="00737216"/>
    <w:rsid w:val="007447A4"/>
    <w:rsid w:val="0077797D"/>
    <w:rsid w:val="007C708A"/>
    <w:rsid w:val="00885002"/>
    <w:rsid w:val="00887CF2"/>
    <w:rsid w:val="00891FFA"/>
    <w:rsid w:val="008C3BF4"/>
    <w:rsid w:val="00923725"/>
    <w:rsid w:val="00A26B01"/>
    <w:rsid w:val="00AB0D0F"/>
    <w:rsid w:val="00B11D51"/>
    <w:rsid w:val="00B645CE"/>
    <w:rsid w:val="00B87E63"/>
    <w:rsid w:val="00BF11D9"/>
    <w:rsid w:val="00C06106"/>
    <w:rsid w:val="00C23CFB"/>
    <w:rsid w:val="00CB377E"/>
    <w:rsid w:val="00CE6CEE"/>
    <w:rsid w:val="00DB3CE1"/>
    <w:rsid w:val="00E17841"/>
    <w:rsid w:val="00E4237B"/>
    <w:rsid w:val="00E52FA8"/>
    <w:rsid w:val="00EC73E5"/>
    <w:rsid w:val="00F328DF"/>
    <w:rsid w:val="00F66A03"/>
    <w:rsid w:val="00F76FCE"/>
    <w:rsid w:val="00F826D5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7352-EB2F-421F-BF0F-962F1B0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57D3-A8AD-4169-9F6A-A187063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8</cp:revision>
  <dcterms:created xsi:type="dcterms:W3CDTF">2020-05-20T09:15:00Z</dcterms:created>
  <dcterms:modified xsi:type="dcterms:W3CDTF">2021-06-17T09:59:00Z</dcterms:modified>
</cp:coreProperties>
</file>